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FF55B7" w:rsidRPr="00FF55B7" w14:paraId="3379530E" w14:textId="77777777" w:rsidTr="00FF55B7">
        <w:tc>
          <w:tcPr>
            <w:tcW w:w="4868" w:type="dxa"/>
          </w:tcPr>
          <w:p w14:paraId="307C9F8D" w14:textId="77777777" w:rsidR="00FF55B7" w:rsidRDefault="00FF55B7">
            <w:pPr>
              <w:outlineLvl w:val="0"/>
              <w:rPr>
                <w:sz w:val="26"/>
                <w:szCs w:val="26"/>
                <w:lang w:val="en-US"/>
              </w:rPr>
            </w:pPr>
          </w:p>
        </w:tc>
        <w:tc>
          <w:tcPr>
            <w:tcW w:w="4868" w:type="dxa"/>
          </w:tcPr>
          <w:p w14:paraId="3801A6D6" w14:textId="77777777" w:rsidR="00FF55B7" w:rsidRDefault="00FF55B7" w:rsidP="00FF55B7">
            <w:pPr>
              <w:outlineLvl w:val="0"/>
              <w:rPr>
                <w:sz w:val="26"/>
                <w:szCs w:val="26"/>
              </w:rPr>
            </w:pPr>
            <w:r>
              <w:rPr>
                <w:sz w:val="26"/>
                <w:szCs w:val="26"/>
              </w:rPr>
              <w:t>Приложение 9</w:t>
            </w:r>
          </w:p>
          <w:p w14:paraId="326A2594" w14:textId="77777777" w:rsidR="00FF55B7" w:rsidRDefault="00FF55B7" w:rsidP="00FF55B7">
            <w:pPr>
              <w:outlineLvl w:val="0"/>
              <w:rPr>
                <w:b/>
                <w:bCs/>
                <w:sz w:val="26"/>
                <w:szCs w:val="26"/>
              </w:rPr>
            </w:pPr>
            <w:r>
              <w:rPr>
                <w:sz w:val="26"/>
                <w:szCs w:val="26"/>
              </w:rPr>
              <w:t xml:space="preserve">к Положению об организации промежуточной аттестации и текущего контроля успеваемости студентов </w:t>
            </w:r>
            <w:r>
              <w:rPr>
                <w:rFonts w:eastAsia="Arial Unicode MS"/>
                <w:sz w:val="26"/>
              </w:rPr>
              <w:t>Национального исследовательского университета «Высшая школа экономики»</w:t>
            </w:r>
          </w:p>
          <w:p w14:paraId="2D305D55" w14:textId="77777777" w:rsidR="00FF55B7" w:rsidRPr="00FF55B7" w:rsidRDefault="00FF55B7">
            <w:pPr>
              <w:outlineLvl w:val="0"/>
              <w:rPr>
                <w:sz w:val="26"/>
                <w:szCs w:val="26"/>
              </w:rPr>
            </w:pPr>
          </w:p>
        </w:tc>
      </w:tr>
    </w:tbl>
    <w:p w14:paraId="50741D5F" w14:textId="77777777" w:rsidR="00F21CC0" w:rsidRDefault="00F21CC0">
      <w:pPr>
        <w:jc w:val="center"/>
        <w:outlineLvl w:val="0"/>
        <w:rPr>
          <w:b/>
          <w:bCs/>
          <w:sz w:val="26"/>
          <w:szCs w:val="26"/>
        </w:rPr>
      </w:pPr>
    </w:p>
    <w:p w14:paraId="1197A4D3" w14:textId="77777777" w:rsidR="00F21CC0" w:rsidRDefault="004A4FE6">
      <w:pPr>
        <w:jc w:val="center"/>
        <w:outlineLvl w:val="0"/>
        <w:rPr>
          <w:b/>
          <w:bCs/>
          <w:sz w:val="26"/>
          <w:szCs w:val="26"/>
        </w:rPr>
      </w:pPr>
      <w:r>
        <w:rPr>
          <w:b/>
          <w:bCs/>
          <w:sz w:val="26"/>
          <w:szCs w:val="26"/>
        </w:rPr>
        <w:t xml:space="preserve">Особенности организации промежуточной аттестации </w:t>
      </w:r>
    </w:p>
    <w:p w14:paraId="019AE7EE" w14:textId="77777777" w:rsidR="00F21CC0" w:rsidRDefault="004A4FE6">
      <w:pPr>
        <w:jc w:val="center"/>
        <w:outlineLvl w:val="0"/>
        <w:rPr>
          <w:b/>
          <w:bCs/>
          <w:sz w:val="26"/>
          <w:szCs w:val="26"/>
        </w:rPr>
      </w:pPr>
      <w:r>
        <w:rPr>
          <w:b/>
          <w:bCs/>
          <w:sz w:val="26"/>
          <w:szCs w:val="26"/>
        </w:rPr>
        <w:t xml:space="preserve">и текущего контроля успеваемости </w:t>
      </w:r>
    </w:p>
    <w:p w14:paraId="2EC04E8F" w14:textId="77777777" w:rsidR="00F21CC0" w:rsidRDefault="004A4FE6">
      <w:pPr>
        <w:jc w:val="center"/>
        <w:outlineLvl w:val="0"/>
        <w:rPr>
          <w:b/>
          <w:bCs/>
          <w:sz w:val="26"/>
          <w:szCs w:val="26"/>
        </w:rPr>
      </w:pPr>
      <w:r>
        <w:rPr>
          <w:b/>
          <w:bCs/>
          <w:sz w:val="26"/>
          <w:szCs w:val="26"/>
        </w:rPr>
        <w:t>студентов образовательных программ по направлениям подготовки «Дизайн»</w:t>
      </w:r>
      <w:r w:rsidRPr="000D4223">
        <w:rPr>
          <w:b/>
          <w:bCs/>
          <w:sz w:val="26"/>
          <w:szCs w:val="26"/>
        </w:rPr>
        <w:t>, «Изящные искусства» и образовательной программы «Современные технологии преподавания дизайна и искусства» по направлению подготовки «Педагогическое образование»</w:t>
      </w:r>
    </w:p>
    <w:p w14:paraId="2292872A" w14:textId="77777777" w:rsidR="00F21CC0" w:rsidRDefault="00F21CC0">
      <w:pPr>
        <w:jc w:val="center"/>
        <w:outlineLvl w:val="0"/>
        <w:rPr>
          <w:b/>
          <w:bCs/>
          <w:sz w:val="26"/>
          <w:szCs w:val="26"/>
        </w:rPr>
      </w:pPr>
    </w:p>
    <w:p w14:paraId="6A58129C" w14:textId="77777777" w:rsidR="00F21CC0" w:rsidRDefault="00F21CC0">
      <w:pPr>
        <w:ind w:firstLine="709"/>
        <w:jc w:val="both"/>
        <w:rPr>
          <w:sz w:val="26"/>
          <w:szCs w:val="26"/>
        </w:rPr>
      </w:pPr>
    </w:p>
    <w:p w14:paraId="4FCEE3A5" w14:textId="568169BC" w:rsidR="00F21CC0" w:rsidRDefault="004A4FE6">
      <w:pPr>
        <w:numPr>
          <w:ilvl w:val="0"/>
          <w:numId w:val="1"/>
        </w:numPr>
        <w:ind w:left="0" w:firstLine="709"/>
        <w:jc w:val="both"/>
        <w:rPr>
          <w:sz w:val="26"/>
          <w:szCs w:val="26"/>
        </w:rPr>
      </w:pPr>
      <w:r>
        <w:rPr>
          <w:sz w:val="26"/>
          <w:szCs w:val="26"/>
        </w:rPr>
        <w:t>Организация текущего контроля успеваемости и промежуточной аттестации студентов образовательных программ по направлениям подготовки «Дизайн», «Изящные искусства» и образовательной программы «Современные технологии преподавания дизайна и искусства» по направлению подготовки «Педагогическое образование»</w:t>
      </w:r>
      <w:bookmarkStart w:id="0" w:name="_GoBack"/>
      <w:bookmarkEnd w:id="0"/>
      <w:r>
        <w:rPr>
          <w:sz w:val="26"/>
          <w:szCs w:val="26"/>
        </w:rPr>
        <w:t xml:space="preserve"> имеет следующие особенности:</w:t>
      </w:r>
    </w:p>
    <w:p w14:paraId="4F000190" w14:textId="5B318005"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экзамены по практическим проектным дисциплинам,</w:t>
      </w:r>
      <w:r w:rsidR="00F63C77">
        <w:rPr>
          <w:rFonts w:ascii="Times New Roman" w:hAnsi="Times New Roman"/>
          <w:sz w:val="26"/>
          <w:szCs w:val="26"/>
        </w:rPr>
        <w:t xml:space="preserve"> </w:t>
      </w:r>
      <w:r>
        <w:rPr>
          <w:rFonts w:ascii="Times New Roman" w:hAnsi="Times New Roman"/>
          <w:sz w:val="26"/>
          <w:szCs w:val="26"/>
        </w:rPr>
        <w:t>некоторые виды текущего контроля по проектным дисциплинам могут проводиться в форме просмотра работ (далее соответственно – Просмотр, дисциплина);</w:t>
      </w:r>
    </w:p>
    <w:p w14:paraId="4E48DC3C"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 xml:space="preserve">проведение Просмотра подразумевает оценивание выполненных в течение модуля работ студента экзаменационной комиссией (далее – комиссия) в составе не менее трех человек. Состав комиссии формируется на один учебный год. Состав экзаменационной комиссии на текущий учебный год утверждается до его начала приказом руководителя Школы дизайна факультета креативных индустрий НИУ ВШЭ (далее - Школа дизайна). </w:t>
      </w:r>
      <w:r>
        <w:rPr>
          <w:sz w:val="26"/>
          <w:szCs w:val="26"/>
        </w:rPr>
        <w:t xml:space="preserve"> </w:t>
      </w:r>
      <w:r>
        <w:rPr>
          <w:rFonts w:ascii="Times New Roman" w:hAnsi="Times New Roman"/>
          <w:sz w:val="26"/>
          <w:szCs w:val="26"/>
        </w:rPr>
        <w:t>В состав комиссии могут входить работники Школы дизайна, а также работники сторонних организаций по согласованию (выдающиеся практики, российские и зарубежные специалисты в области дизайна). В оценивании работ студентов на Просмотре по каждой отдельной дисциплине могут принимать участие как все члены комиссии в полном составе, так и некоторые из них (но не менее трех членов комиссии на Просмотр);</w:t>
      </w:r>
    </w:p>
    <w:p w14:paraId="5C35CB5A" w14:textId="77777777" w:rsidR="00F21CC0" w:rsidRDefault="004A4FE6">
      <w:pPr>
        <w:pStyle w:val="-31"/>
        <w:numPr>
          <w:ilvl w:val="1"/>
          <w:numId w:val="1"/>
        </w:numPr>
        <w:ind w:left="0"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перед Просмотром студент должен загрузить свою работу на интернет-страницу (сайт) «Студенческое портфолио» на интернет-странице Школы дизайна на корпоративном сайте (портале) НИУ ВШЭ по адресу </w:t>
      </w:r>
      <w:hyperlink r:id="rId8" w:tooltip="http://portfolio.hse.ru" w:history="1">
        <w:r>
          <w:rPr>
            <w:rStyle w:val="aff0"/>
            <w:rFonts w:ascii="Times New Roman" w:hAnsi="Times New Roman"/>
            <w:sz w:val="26"/>
            <w:szCs w:val="26"/>
          </w:rPr>
          <w:t>http://portfolio.hse.ru</w:t>
        </w:r>
      </w:hyperlink>
      <w:r>
        <w:rPr>
          <w:rFonts w:ascii="Times New Roman" w:hAnsi="Times New Roman"/>
          <w:color w:val="000000"/>
          <w:sz w:val="26"/>
          <w:szCs w:val="26"/>
        </w:rPr>
        <w:t xml:space="preserve"> (далее – интернет-страница) не позднее, чем за шесть часов до Просмотра. Срок загрузки работы не может быть установлен ранее трёх календарных дней до дня Просмотра. В случае возникновения технических неполадок при подключении студента к интернет-странице, студент имеет право загрузить работу позднее, вплоть до начала Просмотра, информация о возникших проблемах с доказательствами (скриншоты, видео, сообщения от провайдера и пр.) должна быть должна быть донесена до учебного офиса </w:t>
      </w:r>
      <w:r>
        <w:rPr>
          <w:rFonts w:ascii="Times New Roman" w:hAnsi="Times New Roman"/>
          <w:color w:val="000000"/>
          <w:sz w:val="26"/>
          <w:szCs w:val="26"/>
        </w:rPr>
        <w:lastRenderedPageBreak/>
        <w:t>не позднее, чем за три часа до начала Просмотра. Срок загрузки работы может быть перенесён в случае уважительной причины;</w:t>
      </w:r>
    </w:p>
    <w:p w14:paraId="16C72892"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 xml:space="preserve">просмотр работ осуществляется с интернет-страницы. В отдельных случаях, если того требует ПУД, к Просмотру, в дополнение к загруженной на интернет-страницу работе, студентом могут быть предоставлены дополнительные материалы, принесенные им непосредственно на Просмотр без предварительной загрузки на интернет-страницу (макетные образцы, зарисовки, готовые изделия и иные материалы); </w:t>
      </w:r>
    </w:p>
    <w:p w14:paraId="716C1997"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время, формат и место/платформа Просмотра назначаются в соответствии с расписанием сессии;</w:t>
      </w:r>
    </w:p>
    <w:p w14:paraId="5B1EAAAB" w14:textId="15092DE4" w:rsidR="00F21CC0" w:rsidRDefault="004F66F2" w:rsidP="004F66F2">
      <w:pPr>
        <w:numPr>
          <w:ilvl w:val="1"/>
          <w:numId w:val="1"/>
        </w:numPr>
        <w:ind w:left="0" w:firstLine="709"/>
        <w:contextualSpacing/>
        <w:jc w:val="both"/>
        <w:rPr>
          <w:sz w:val="26"/>
          <w:szCs w:val="26"/>
        </w:rPr>
      </w:pPr>
      <w:r>
        <w:rPr>
          <w:sz w:val="26"/>
          <w:szCs w:val="26"/>
        </w:rPr>
        <w:t>п</w:t>
      </w:r>
      <w:r w:rsidR="004A4FE6">
        <w:rPr>
          <w:sz w:val="26"/>
          <w:szCs w:val="26"/>
        </w:rPr>
        <w:t>ри проведении Просмотра в очной форме, студент имеет право отсутствовать или присутствовать на Просмотре удалённо по уважительным причинам;</w:t>
      </w:r>
    </w:p>
    <w:p w14:paraId="428642DB"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просмотр предполагает демонстрацию результатов работы, выполненной студентом по дисциплине в соответствии с ПУД в формате презентации. Члены комиссии вправе задать студенту вопросы, высказать мнения и комментарии;</w:t>
      </w:r>
    </w:p>
    <w:p w14:paraId="33BF9224"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члены комиссии могут осуществлять оценку работ как при очном присутствии на Просмотре, так и при заочном оценивании через интернет-страницу настоящего приложения;</w:t>
      </w:r>
    </w:p>
    <w:p w14:paraId="57564CF6" w14:textId="77777777" w:rsidR="00F21CC0" w:rsidRDefault="004A4FE6">
      <w:pPr>
        <w:numPr>
          <w:ilvl w:val="1"/>
          <w:numId w:val="1"/>
        </w:numPr>
        <w:ind w:left="0" w:firstLine="709"/>
        <w:contextualSpacing/>
        <w:jc w:val="both"/>
        <w:rPr>
          <w:sz w:val="26"/>
          <w:szCs w:val="26"/>
        </w:rPr>
      </w:pPr>
      <w:r>
        <w:rPr>
          <w:sz w:val="26"/>
          <w:szCs w:val="26"/>
        </w:rPr>
        <w:t xml:space="preserve">оценка за Просмотр выставляется в следующей пропорции: 50 % оценки складывается из балла, выставленного преподавателем, ответственным за реализацию дисциплины (далее — Преподаватель), 50% оценки складывается как среднеарифметическое из баллов всех членов комиссии, участвующих в оценивании; </w:t>
      </w:r>
    </w:p>
    <w:p w14:paraId="24D36A10" w14:textId="77777777" w:rsidR="00F21CC0" w:rsidRDefault="004A4FE6">
      <w:pPr>
        <w:numPr>
          <w:ilvl w:val="1"/>
          <w:numId w:val="1"/>
        </w:numPr>
        <w:ind w:left="0" w:firstLine="709"/>
        <w:contextualSpacing/>
        <w:jc w:val="both"/>
        <w:rPr>
          <w:sz w:val="26"/>
          <w:szCs w:val="26"/>
        </w:rPr>
      </w:pPr>
      <w:r>
        <w:rPr>
          <w:sz w:val="26"/>
          <w:szCs w:val="26"/>
        </w:rPr>
        <w:t xml:space="preserve">промежуточная/окончательная оценка по дисциплине рассчитывается с учетом промежуточной оценки за модуль и посещаемости на занятиях согласно методике, предусмотренной программой дисциплины, согласно формуле оценивания, указанной в ПУД. Формула оценивания должна соответствовать Положению об организации промежуточной аттестации и текущего контроля успеваемости студентов </w:t>
      </w:r>
      <w:r>
        <w:rPr>
          <w:bCs/>
          <w:sz w:val="26"/>
          <w:szCs w:val="26"/>
        </w:rPr>
        <w:t>Национального исследовательского университета «Высшая школа экономики» (далее – Положение)</w:t>
      </w:r>
      <w:r>
        <w:rPr>
          <w:sz w:val="26"/>
          <w:szCs w:val="26"/>
        </w:rPr>
        <w:t>;</w:t>
      </w:r>
    </w:p>
    <w:p w14:paraId="5D98A27B"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 xml:space="preserve">оценка по результатам Просмотра выставляется членами комиссии в течение трех календарных дней после его проведения в пределах дат проведения сессии. Результаты экзамена, проходящего в форме Просмотра, объявляются студентам </w:t>
      </w:r>
      <w:r>
        <w:rPr>
          <w:rFonts w:ascii="Times New Roman" w:hAnsi="Times New Roman"/>
          <w:color w:val="000000"/>
          <w:sz w:val="26"/>
        </w:rPr>
        <w:t>не позднее пяти рабочих дней после окончания сессии</w:t>
      </w:r>
      <w:r>
        <w:rPr>
          <w:rFonts w:ascii="Times New Roman" w:hAnsi="Times New Roman"/>
          <w:sz w:val="26"/>
          <w:szCs w:val="26"/>
        </w:rPr>
        <w:t xml:space="preserve">; </w:t>
      </w:r>
    </w:p>
    <w:p w14:paraId="439E2B24"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промежуточная/окончательная оценка по дисциплине выставляется в экзаменационную ведомость и отображается на интернет-странице. Даты выставления оценок отслеживаются в автоматическом режиме;</w:t>
      </w:r>
    </w:p>
    <w:p w14:paraId="25E9D17B" w14:textId="77777777" w:rsidR="00F21CC0" w:rsidRDefault="004A4FE6">
      <w:pPr>
        <w:pStyle w:val="-31"/>
        <w:numPr>
          <w:ilvl w:val="1"/>
          <w:numId w:val="1"/>
        </w:numPr>
        <w:ind w:left="0" w:firstLine="709"/>
        <w:contextualSpacing/>
        <w:jc w:val="both"/>
        <w:rPr>
          <w:rFonts w:ascii="Times New Roman" w:hAnsi="Times New Roman"/>
          <w:sz w:val="26"/>
          <w:szCs w:val="26"/>
        </w:rPr>
      </w:pPr>
      <w:r>
        <w:rPr>
          <w:rFonts w:ascii="Times New Roman" w:hAnsi="Times New Roman"/>
          <w:sz w:val="26"/>
          <w:szCs w:val="26"/>
        </w:rPr>
        <w:t>пересдачи экзамена, проведенного в форме Просмотра, осуществляются в форме и по правилам, установленным Положением.</w:t>
      </w:r>
    </w:p>
    <w:sectPr w:rsidR="00F21CC0">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A339" w14:textId="77777777" w:rsidR="00665836" w:rsidRDefault="00665836">
      <w:r>
        <w:separator/>
      </w:r>
    </w:p>
  </w:endnote>
  <w:endnote w:type="continuationSeparator" w:id="0">
    <w:p w14:paraId="20320391" w14:textId="77777777" w:rsidR="00665836" w:rsidRDefault="0066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71CD" w14:textId="5EA15C81" w:rsidR="00F21CC0" w:rsidRDefault="004A4FE6">
    <w:pPr>
      <w:pStyle w:val="afe"/>
      <w:jc w:val="right"/>
    </w:pPr>
    <w:r>
      <w:fldChar w:fldCharType="begin"/>
    </w:r>
    <w:r>
      <w:instrText>PAGE   \* MERGEFORMAT</w:instrText>
    </w:r>
    <w:r>
      <w:fldChar w:fldCharType="separate"/>
    </w:r>
    <w:r w:rsidR="00C54477">
      <w:rPr>
        <w:noProof/>
      </w:rPr>
      <w:t>2</w:t>
    </w:r>
    <w:r>
      <w:fldChar w:fldCharType="end"/>
    </w:r>
  </w:p>
  <w:p w14:paraId="1210C468" w14:textId="77777777" w:rsidR="00F21CC0" w:rsidRDefault="00F21CC0">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2AA8" w14:textId="77777777" w:rsidR="00665836" w:rsidRDefault="00665836">
      <w:r>
        <w:separator/>
      </w:r>
    </w:p>
  </w:footnote>
  <w:footnote w:type="continuationSeparator" w:id="0">
    <w:p w14:paraId="73737865" w14:textId="77777777" w:rsidR="00665836" w:rsidRDefault="0066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16BE"/>
    <w:multiLevelType w:val="hybridMultilevel"/>
    <w:tmpl w:val="5FB62288"/>
    <w:lvl w:ilvl="0" w:tplc="146CFC12">
      <w:start w:val="1"/>
      <w:numFmt w:val="bullet"/>
      <w:lvlText w:val=""/>
      <w:lvlJc w:val="left"/>
      <w:pPr>
        <w:tabs>
          <w:tab w:val="num" w:pos="0"/>
        </w:tabs>
        <w:ind w:left="0" w:firstLine="0"/>
      </w:pPr>
      <w:rPr>
        <w:rFonts w:ascii="Symbol" w:hAnsi="Symbol" w:hint="default"/>
      </w:rPr>
    </w:lvl>
    <w:lvl w:ilvl="1" w:tplc="F37EA932">
      <w:start w:val="1"/>
      <w:numFmt w:val="bullet"/>
      <w:lvlText w:val=""/>
      <w:lvlJc w:val="left"/>
      <w:pPr>
        <w:tabs>
          <w:tab w:val="num" w:pos="720"/>
        </w:tabs>
        <w:ind w:left="1080" w:hanging="360"/>
      </w:pPr>
      <w:rPr>
        <w:rFonts w:ascii="Symbol" w:hAnsi="Symbol" w:hint="default"/>
      </w:rPr>
    </w:lvl>
    <w:lvl w:ilvl="2" w:tplc="6C28D894">
      <w:start w:val="1"/>
      <w:numFmt w:val="bullet"/>
      <w:lvlText w:val="o"/>
      <w:lvlJc w:val="left"/>
      <w:pPr>
        <w:tabs>
          <w:tab w:val="num" w:pos="1440"/>
        </w:tabs>
        <w:ind w:left="1800" w:hanging="360"/>
      </w:pPr>
      <w:rPr>
        <w:rFonts w:ascii="Courier New" w:hAnsi="Courier New" w:cs="Courier New" w:hint="default"/>
      </w:rPr>
    </w:lvl>
    <w:lvl w:ilvl="3" w:tplc="25D6EF02">
      <w:start w:val="1"/>
      <w:numFmt w:val="bullet"/>
      <w:lvlText w:val=""/>
      <w:lvlJc w:val="left"/>
      <w:pPr>
        <w:tabs>
          <w:tab w:val="num" w:pos="2160"/>
        </w:tabs>
        <w:ind w:left="2520" w:hanging="360"/>
      </w:pPr>
      <w:rPr>
        <w:rFonts w:ascii="Wingdings" w:hAnsi="Wingdings" w:hint="default"/>
      </w:rPr>
    </w:lvl>
    <w:lvl w:ilvl="4" w:tplc="E93090AA">
      <w:start w:val="1"/>
      <w:numFmt w:val="bullet"/>
      <w:lvlText w:val=""/>
      <w:lvlJc w:val="left"/>
      <w:pPr>
        <w:tabs>
          <w:tab w:val="num" w:pos="2880"/>
        </w:tabs>
        <w:ind w:left="3240" w:hanging="360"/>
      </w:pPr>
      <w:rPr>
        <w:rFonts w:ascii="Wingdings" w:hAnsi="Wingdings" w:hint="default"/>
      </w:rPr>
    </w:lvl>
    <w:lvl w:ilvl="5" w:tplc="62F83B76">
      <w:start w:val="1"/>
      <w:numFmt w:val="bullet"/>
      <w:lvlText w:val=""/>
      <w:lvlJc w:val="left"/>
      <w:pPr>
        <w:tabs>
          <w:tab w:val="num" w:pos="3600"/>
        </w:tabs>
        <w:ind w:left="3960" w:hanging="360"/>
      </w:pPr>
      <w:rPr>
        <w:rFonts w:ascii="Symbol" w:hAnsi="Symbol" w:hint="default"/>
      </w:rPr>
    </w:lvl>
    <w:lvl w:ilvl="6" w:tplc="AD925098">
      <w:start w:val="1"/>
      <w:numFmt w:val="bullet"/>
      <w:lvlText w:val="o"/>
      <w:lvlJc w:val="left"/>
      <w:pPr>
        <w:tabs>
          <w:tab w:val="num" w:pos="4320"/>
        </w:tabs>
        <w:ind w:left="4680" w:hanging="360"/>
      </w:pPr>
      <w:rPr>
        <w:rFonts w:ascii="Courier New" w:hAnsi="Courier New" w:cs="Courier New" w:hint="default"/>
      </w:rPr>
    </w:lvl>
    <w:lvl w:ilvl="7" w:tplc="4712DDDE">
      <w:start w:val="1"/>
      <w:numFmt w:val="bullet"/>
      <w:lvlText w:val=""/>
      <w:lvlJc w:val="left"/>
      <w:pPr>
        <w:tabs>
          <w:tab w:val="num" w:pos="5040"/>
        </w:tabs>
        <w:ind w:left="5400" w:hanging="360"/>
      </w:pPr>
      <w:rPr>
        <w:rFonts w:ascii="Wingdings" w:hAnsi="Wingdings" w:hint="default"/>
      </w:rPr>
    </w:lvl>
    <w:lvl w:ilvl="8" w:tplc="3EEA16F2">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FD05AB"/>
    <w:multiLevelType w:val="multilevel"/>
    <w:tmpl w:val="960E307A"/>
    <w:lvl w:ilvl="0">
      <w:start w:val="1"/>
      <w:numFmt w:val="decimal"/>
      <w:suff w:val="space"/>
      <w:lvlText w:val="%1."/>
      <w:lvlJc w:val="left"/>
      <w:pPr>
        <w:ind w:left="1068" w:hanging="360"/>
      </w:pPr>
      <w:rPr>
        <w:rFonts w:cs="Times New Roman"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C0"/>
    <w:rsid w:val="000D4223"/>
    <w:rsid w:val="003255EB"/>
    <w:rsid w:val="004A4FE6"/>
    <w:rsid w:val="004F66F2"/>
    <w:rsid w:val="00665836"/>
    <w:rsid w:val="009923DF"/>
    <w:rsid w:val="00A922B9"/>
    <w:rsid w:val="00C54477"/>
    <w:rsid w:val="00DF1921"/>
    <w:rsid w:val="00EA0909"/>
    <w:rsid w:val="00F21CC0"/>
    <w:rsid w:val="00F63C77"/>
    <w:rsid w:val="00FF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F24"/>
  <w15:docId w15:val="{CE1E31DC-7BA4-4B28-8E48-EA89D8E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customStyle="1" w:styleId="-31">
    <w:name w:val="Светлая сетка - Акцент 31"/>
    <w:basedOn w:val="a"/>
    <w:uiPriority w:val="99"/>
    <w:qFormat/>
    <w:pPr>
      <w:ind w:left="720"/>
    </w:pPr>
    <w:rPr>
      <w:rFonts w:ascii="Calibri" w:hAnsi="Calibri"/>
      <w:sz w:val="22"/>
      <w:szCs w:val="22"/>
    </w:rPr>
  </w:style>
  <w:style w:type="paragraph" w:styleId="af2">
    <w:name w:val="footnote text"/>
    <w:basedOn w:val="a"/>
    <w:link w:val="af3"/>
    <w:uiPriority w:val="99"/>
    <w:semiHidden/>
    <w:rPr>
      <w:sz w:val="20"/>
      <w:szCs w:val="20"/>
    </w:rPr>
  </w:style>
  <w:style w:type="character" w:customStyle="1" w:styleId="af3">
    <w:name w:val="Текст сноски Знак"/>
    <w:link w:val="af2"/>
    <w:uiPriority w:val="99"/>
    <w:semiHidden/>
    <w:rPr>
      <w:rFonts w:ascii="Times New Roman" w:hAnsi="Times New Roman" w:cs="Times New Roman"/>
      <w:sz w:val="20"/>
      <w:szCs w:val="20"/>
      <w:lang w:eastAsia="ru-RU"/>
    </w:rPr>
  </w:style>
  <w:style w:type="character" w:styleId="af4">
    <w:name w:val="footnote reference"/>
    <w:uiPriority w:val="99"/>
    <w:semiHidden/>
    <w:rPr>
      <w:rFonts w:cs="Times New Roman"/>
      <w:vertAlign w:val="superscript"/>
    </w:rPr>
  </w:style>
  <w:style w:type="character" w:styleId="af5">
    <w:name w:val="annotation reference"/>
    <w:uiPriority w:val="99"/>
    <w:semiHidden/>
    <w:rPr>
      <w:rFonts w:cs="Times New Roman"/>
      <w:sz w:val="16"/>
      <w:szCs w:val="16"/>
    </w:rPr>
  </w:style>
  <w:style w:type="paragraph" w:styleId="af6">
    <w:name w:val="annotation text"/>
    <w:basedOn w:val="a"/>
    <w:link w:val="af7"/>
    <w:uiPriority w:val="99"/>
    <w:semiHidden/>
    <w:rPr>
      <w:sz w:val="20"/>
      <w:szCs w:val="20"/>
    </w:rPr>
  </w:style>
  <w:style w:type="character" w:customStyle="1" w:styleId="af7">
    <w:name w:val="Текст примечания Знак"/>
    <w:link w:val="af6"/>
    <w:uiPriority w:val="99"/>
    <w:semiHidden/>
    <w:rPr>
      <w:rFonts w:ascii="Times New Roman" w:hAnsi="Times New Roman" w:cs="Times New Roman"/>
      <w:sz w:val="20"/>
      <w:szCs w:val="20"/>
      <w:lang w:eastAsia="ru-RU"/>
    </w:rPr>
  </w:style>
  <w:style w:type="paragraph" w:styleId="af8">
    <w:name w:val="Balloon Text"/>
    <w:basedOn w:val="a"/>
    <w:link w:val="af9"/>
    <w:uiPriority w:val="99"/>
    <w:semiHidden/>
    <w:rPr>
      <w:rFonts w:ascii="Tahoma" w:hAnsi="Tahoma"/>
      <w:sz w:val="16"/>
      <w:szCs w:val="16"/>
    </w:rPr>
  </w:style>
  <w:style w:type="character" w:customStyle="1" w:styleId="af9">
    <w:name w:val="Текст выноски Знак"/>
    <w:link w:val="af8"/>
    <w:uiPriority w:val="99"/>
    <w:semiHidden/>
    <w:rPr>
      <w:rFonts w:ascii="Tahoma" w:hAnsi="Tahoma" w:cs="Tahoma"/>
      <w:sz w:val="16"/>
      <w:szCs w:val="16"/>
      <w:lang w:eastAsia="ru-RU"/>
    </w:rPr>
  </w:style>
  <w:style w:type="paragraph" w:styleId="afa">
    <w:name w:val="annotation subject"/>
    <w:basedOn w:val="af6"/>
    <w:next w:val="af6"/>
    <w:link w:val="afb"/>
    <w:uiPriority w:val="99"/>
    <w:semiHidden/>
    <w:unhideWhenUsed/>
    <w:rPr>
      <w:b/>
      <w:bCs/>
    </w:rPr>
  </w:style>
  <w:style w:type="character" w:customStyle="1" w:styleId="afb">
    <w:name w:val="Тема примечания Знак"/>
    <w:link w:val="afa"/>
    <w:uiPriority w:val="99"/>
    <w:semiHidden/>
    <w:rPr>
      <w:rFonts w:ascii="Times New Roman" w:hAnsi="Times New Roman" w:cs="Times New Roman"/>
      <w:b/>
      <w:bCs/>
      <w:sz w:val="20"/>
      <w:szCs w:val="20"/>
      <w:lang w:eastAsia="ru-RU"/>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link w:val="afc"/>
    <w:uiPriority w:val="99"/>
    <w:rPr>
      <w:rFonts w:ascii="Times New Roman" w:hAnsi="Times New Roman" w:cs="Times New Roman"/>
      <w:sz w:val="24"/>
      <w:szCs w:val="24"/>
    </w:rPr>
  </w:style>
  <w:style w:type="paragraph" w:styleId="afe">
    <w:name w:val="footer"/>
    <w:basedOn w:val="a"/>
    <w:link w:val="aff"/>
    <w:uiPriority w:val="99"/>
    <w:unhideWhenUsed/>
    <w:pPr>
      <w:tabs>
        <w:tab w:val="center" w:pos="4677"/>
        <w:tab w:val="right" w:pos="9355"/>
      </w:tabs>
    </w:pPr>
  </w:style>
  <w:style w:type="character" w:customStyle="1" w:styleId="aff">
    <w:name w:val="Нижний колонтитул Знак"/>
    <w:link w:val="afe"/>
    <w:uiPriority w:val="99"/>
    <w:rPr>
      <w:rFonts w:ascii="Times New Roman" w:hAnsi="Times New Roman" w:cs="Times New Roman"/>
      <w:sz w:val="24"/>
      <w:szCs w:val="24"/>
    </w:rPr>
  </w:style>
  <w:style w:type="character" w:styleId="aff0">
    <w:name w:val="Hyperlink"/>
    <w:uiPriority w:val="99"/>
    <w:unhideWhenUsed/>
    <w:rPr>
      <w:color w:val="0000FF"/>
      <w:u w:val="single"/>
    </w:rPr>
  </w:style>
  <w:style w:type="paragraph" w:customStyle="1" w:styleId="2-21">
    <w:name w:val="Средний список 2 - Акцент 21"/>
    <w:hidden/>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folio.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1862-C3B5-4E3C-ACAC-F5C6DF72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НИУ ВШЭ</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subject/>
  <dc:creator>User</dc:creator>
  <cp:keywords/>
  <cp:lastModifiedBy>Малышева Галина Анатольевна</cp:lastModifiedBy>
  <cp:revision>4</cp:revision>
  <cp:lastPrinted>2023-12-19T10:16:00Z</cp:lastPrinted>
  <dcterms:created xsi:type="dcterms:W3CDTF">2023-12-19T09:46:00Z</dcterms:created>
  <dcterms:modified xsi:type="dcterms:W3CDTF">2024-01-19T14:36:00Z</dcterms:modified>
</cp:coreProperties>
</file>